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9D6AF4">
      <w:pPr>
        <w:spacing w:line="552" w:lineRule="exact"/>
        <w:jc w:val="center"/>
        <w:rPr>
          <w:rFonts w:hint="eastAsia" w:ascii="微软雅黑" w:hAnsi="微软雅黑" w:eastAsia="微软雅黑" w:cs="微软雅黑"/>
          <w:b/>
          <w:sz w:val="44"/>
          <w:szCs w:val="44"/>
          <w14:ligatures w14:val="standardContextual"/>
        </w:rPr>
      </w:pPr>
      <w:r>
        <w:rPr>
          <w:rFonts w:hint="eastAsia" w:ascii="微软雅黑" w:hAnsi="微软雅黑" w:eastAsia="微软雅黑" w:cs="微软雅黑"/>
          <w:b/>
          <w:sz w:val="44"/>
          <w:szCs w:val="44"/>
          <w14:ligatures w14:val="standardContextual"/>
        </w:rPr>
        <w:t>西宁市口腔医院</w:t>
      </w:r>
    </w:p>
    <w:p w14:paraId="5F48908F">
      <w:pPr>
        <w:spacing w:line="552" w:lineRule="exact"/>
        <w:jc w:val="center"/>
        <w:rPr>
          <w:rFonts w:hint="default" w:ascii="微软雅黑" w:hAnsi="微软雅黑" w:eastAsia="微软雅黑" w:cs="微软雅黑"/>
          <w:b/>
          <w:sz w:val="44"/>
          <w:szCs w:val="44"/>
          <w:lang w:val="en-US" w:eastAsia="zh-CN"/>
          <w14:ligatures w14:val="standardContextual"/>
        </w:rPr>
      </w:pPr>
      <w:r>
        <w:rPr>
          <w:rFonts w:hint="eastAsia" w:ascii="微软雅黑" w:hAnsi="微软雅黑" w:eastAsia="微软雅黑" w:cs="微软雅黑"/>
          <w:b/>
          <w:sz w:val="44"/>
          <w:szCs w:val="44"/>
          <w:lang w:val="en-US" w:eastAsia="zh-CN"/>
          <w14:ligatures w14:val="standardContextual"/>
        </w:rPr>
        <w:t>生物园区总院、胜利路门诊、北大街门诊反渗透开水直饮机院内议价公告</w:t>
      </w:r>
    </w:p>
    <w:p w14:paraId="21F6FA23">
      <w:pPr>
        <w:rPr>
          <w:rFonts w:hint="eastAsia" w:ascii="宋体" w:hAnsi="宋体" w:eastAsia="宋体" w:cs="宋体"/>
          <w:b/>
          <w:bCs w:val="0"/>
          <w:kern w:val="2"/>
          <w:sz w:val="44"/>
          <w:szCs w:val="44"/>
        </w:rPr>
      </w:pPr>
    </w:p>
    <w:p w14:paraId="09305E1F">
      <w:pPr>
        <w:spacing w:line="552" w:lineRule="exact"/>
        <w:jc w:val="center"/>
        <w:rPr>
          <w:rFonts w:hint="default" w:ascii="仿宋" w:hAnsi="仿宋" w:eastAsia="仿宋" w:cs="Times New Roman"/>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一、项目名称：</w:t>
      </w:r>
      <w:r>
        <w:rPr>
          <w:rFonts w:hint="eastAsia" w:ascii="仿宋" w:hAnsi="仿宋" w:eastAsia="仿宋" w:cs="Times New Roman"/>
          <w:sz w:val="32"/>
          <w:szCs w:val="32"/>
          <w:lang w:val="en-US" w:eastAsia="zh-CN"/>
          <w14:ligatures w14:val="standardContextual"/>
        </w:rPr>
        <w:t>西宁市口腔医院生物园院总院、胜利路门诊、北大街门诊反渗透开水直饮机院内议价</w:t>
      </w:r>
    </w:p>
    <w:p w14:paraId="70C82D60">
      <w:pPr>
        <w:spacing w:line="552" w:lineRule="exact"/>
        <w:jc w:val="left"/>
        <w:rPr>
          <w:rFonts w:hint="default" w:ascii="仿宋" w:hAnsi="仿宋" w:eastAsia="仿宋" w:cs="Times New Roman"/>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二、采购预算：</w:t>
      </w:r>
      <w:r>
        <w:rPr>
          <w:rFonts w:hint="eastAsia" w:ascii="仿宋" w:hAnsi="仿宋" w:eastAsia="仿宋" w:cs="Times New Roman"/>
          <w:sz w:val="32"/>
          <w:szCs w:val="32"/>
          <w:lang w:val="en-US" w:eastAsia="zh-CN"/>
          <w14:ligatures w14:val="standardContextual"/>
        </w:rPr>
        <w:t>48700元。</w:t>
      </w:r>
    </w:p>
    <w:p w14:paraId="6848954C">
      <w:pPr>
        <w:spacing w:line="552" w:lineRule="exact"/>
        <w:jc w:val="left"/>
        <w:rPr>
          <w:rFonts w:hint="default" w:ascii="仿宋" w:hAnsi="仿宋" w:eastAsia="仿宋" w:cs="Times New Roman"/>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三、采购方式：</w:t>
      </w:r>
      <w:r>
        <w:rPr>
          <w:rFonts w:hint="eastAsia" w:ascii="仿宋" w:hAnsi="仿宋" w:eastAsia="仿宋" w:cs="Times New Roman"/>
          <w:sz w:val="32"/>
          <w:szCs w:val="32"/>
          <w:lang w:val="en-US" w:eastAsia="zh-CN"/>
          <w14:ligatures w14:val="standardContextual"/>
        </w:rPr>
        <w:t>院内议价。</w:t>
      </w:r>
    </w:p>
    <w:p w14:paraId="3904E8D5">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四、报名要求：</w:t>
      </w:r>
    </w:p>
    <w:p w14:paraId="1BC2D3F2">
      <w:pPr>
        <w:spacing w:line="552" w:lineRule="exact"/>
        <w:jc w:val="left"/>
        <w:rPr>
          <w:rFonts w:hint="default"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（1）投标人须提供证件：投标人的营业执照复印件、公司经营许可证复印件、法人委托授权书原件、</w:t>
      </w:r>
      <w:r>
        <w:rPr>
          <w:rFonts w:hint="eastAsia" w:ascii="仿宋" w:hAnsi="仿宋" w:eastAsia="仿宋" w:cs="Times New Roman"/>
          <w:b/>
          <w:bCs/>
          <w:sz w:val="32"/>
          <w:szCs w:val="32"/>
          <w:lang w:val="en-US" w:eastAsia="zh-CN"/>
          <w14:ligatures w14:val="standardContextual"/>
        </w:rPr>
        <w:t>政采云平台入围证明文件</w:t>
      </w:r>
      <w:r>
        <w:rPr>
          <w:rFonts w:hint="eastAsia" w:ascii="仿宋" w:hAnsi="仿宋" w:eastAsia="仿宋" w:cs="Times New Roman"/>
          <w:sz w:val="32"/>
          <w:szCs w:val="32"/>
          <w:lang w:val="en-US" w:eastAsia="zh-CN"/>
          <w14:ligatures w14:val="standardContextual"/>
        </w:rPr>
        <w:t>，以上资料均需加盖公章。资料送达至西宁市口腔医院（生物园院区）院办。</w:t>
      </w:r>
    </w:p>
    <w:p w14:paraId="2540F378">
      <w:pPr>
        <w:spacing w:line="552" w:lineRule="exact"/>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eastAsia="zh-CN"/>
          <w14:ligatures w14:val="standardContextual"/>
        </w:rPr>
        <w:t>（</w:t>
      </w:r>
      <w:r>
        <w:rPr>
          <w:rFonts w:hint="eastAsia" w:ascii="仿宋" w:hAnsi="仿宋" w:eastAsia="仿宋" w:cs="Times New Roman"/>
          <w:sz w:val="32"/>
          <w:szCs w:val="32"/>
          <w:lang w:val="en-US" w:eastAsia="zh-CN"/>
          <w14:ligatures w14:val="standardContextual"/>
        </w:rPr>
        <w:t>2</w:t>
      </w:r>
      <w:r>
        <w:rPr>
          <w:rFonts w:hint="eastAsia" w:ascii="仿宋" w:hAnsi="仿宋" w:eastAsia="仿宋" w:cs="Times New Roman"/>
          <w:sz w:val="32"/>
          <w:szCs w:val="32"/>
          <w:lang w:eastAsia="zh-CN"/>
          <w14:ligatures w14:val="standardContextual"/>
        </w:rPr>
        <w:t>）</w:t>
      </w:r>
      <w:r>
        <w:rPr>
          <w:rFonts w:hint="eastAsia" w:ascii="仿宋" w:hAnsi="仿宋" w:eastAsia="仿宋" w:cs="Times New Roman"/>
          <w:sz w:val="32"/>
          <w:szCs w:val="32"/>
          <w14:ligatures w14:val="standardContextual"/>
        </w:rPr>
        <w:t>报名及初审时间：202</w:t>
      </w:r>
      <w:r>
        <w:rPr>
          <w:rFonts w:hint="eastAsia" w:ascii="仿宋" w:hAnsi="仿宋" w:eastAsia="仿宋" w:cs="Times New Roman"/>
          <w:sz w:val="32"/>
          <w:szCs w:val="32"/>
          <w:lang w:val="en-US" w:eastAsia="zh-CN"/>
          <w14:ligatures w14:val="standardContextual"/>
        </w:rPr>
        <w:t>5</w:t>
      </w:r>
      <w:r>
        <w:rPr>
          <w:rFonts w:hint="eastAsia" w:ascii="仿宋" w:hAnsi="仿宋" w:eastAsia="仿宋" w:cs="Times New Roman"/>
          <w:sz w:val="32"/>
          <w:szCs w:val="32"/>
          <w14:ligatures w14:val="standardContextual"/>
        </w:rPr>
        <w:t>年</w:t>
      </w:r>
      <w:r>
        <w:rPr>
          <w:rFonts w:hint="eastAsia" w:ascii="仿宋" w:hAnsi="仿宋" w:eastAsia="仿宋" w:cs="Times New Roman"/>
          <w:sz w:val="32"/>
          <w:szCs w:val="32"/>
          <w:lang w:val="en-US" w:eastAsia="zh-CN"/>
          <w14:ligatures w14:val="standardContextual"/>
        </w:rPr>
        <w:t>2</w:t>
      </w:r>
      <w:r>
        <w:rPr>
          <w:rFonts w:hint="eastAsia" w:ascii="仿宋" w:hAnsi="仿宋" w:eastAsia="仿宋" w:cs="Times New Roman"/>
          <w:sz w:val="32"/>
          <w:szCs w:val="32"/>
          <w14:ligatures w14:val="standardContextual"/>
        </w:rPr>
        <w:t>月</w:t>
      </w:r>
      <w:r>
        <w:rPr>
          <w:rFonts w:hint="eastAsia" w:ascii="仿宋" w:hAnsi="仿宋" w:eastAsia="仿宋" w:cs="Times New Roman"/>
          <w:sz w:val="32"/>
          <w:szCs w:val="32"/>
          <w:lang w:val="en-US" w:eastAsia="zh-CN"/>
          <w14:ligatures w14:val="standardContextual"/>
        </w:rPr>
        <w:t>17</w:t>
      </w:r>
      <w:r>
        <w:rPr>
          <w:rFonts w:hint="eastAsia" w:ascii="仿宋" w:hAnsi="仿宋" w:eastAsia="仿宋" w:cs="Times New Roman"/>
          <w:sz w:val="32"/>
          <w:szCs w:val="32"/>
          <w14:ligatures w14:val="standardContextual"/>
        </w:rPr>
        <w:t>日--</w:t>
      </w:r>
      <w:r>
        <w:rPr>
          <w:rFonts w:hint="eastAsia" w:ascii="仿宋" w:hAnsi="仿宋" w:eastAsia="仿宋" w:cs="Times New Roman"/>
          <w:sz w:val="32"/>
          <w:szCs w:val="32"/>
          <w:lang w:val="en-US" w:eastAsia="zh-CN"/>
          <w14:ligatures w14:val="standardContextual"/>
        </w:rPr>
        <w:t>2</w:t>
      </w:r>
      <w:r>
        <w:rPr>
          <w:rFonts w:hint="eastAsia" w:ascii="仿宋" w:hAnsi="仿宋" w:eastAsia="仿宋" w:cs="Times New Roman"/>
          <w:sz w:val="32"/>
          <w:szCs w:val="32"/>
          <w14:ligatures w14:val="standardContextual"/>
        </w:rPr>
        <w:t>月</w:t>
      </w:r>
      <w:r>
        <w:rPr>
          <w:rFonts w:hint="eastAsia" w:ascii="仿宋" w:hAnsi="仿宋" w:eastAsia="仿宋" w:cs="Times New Roman"/>
          <w:sz w:val="32"/>
          <w:szCs w:val="32"/>
          <w:lang w:val="en-US" w:eastAsia="zh-CN"/>
          <w14:ligatures w14:val="standardContextual"/>
        </w:rPr>
        <w:t>19</w:t>
      </w:r>
      <w:r>
        <w:rPr>
          <w:rFonts w:hint="eastAsia" w:ascii="仿宋" w:hAnsi="仿宋" w:eastAsia="仿宋" w:cs="Times New Roman"/>
          <w:sz w:val="32"/>
          <w:szCs w:val="32"/>
          <w14:ligatures w14:val="standardContextual"/>
        </w:rPr>
        <w:t>日（8:30-12:00,</w:t>
      </w:r>
      <w:r>
        <w:rPr>
          <w:rFonts w:hint="eastAsia" w:ascii="仿宋" w:hAnsi="仿宋" w:eastAsia="仿宋" w:cs="Times New Roman"/>
          <w:sz w:val="32"/>
          <w:szCs w:val="32"/>
          <w:lang w:val="en-US" w:eastAsia="zh-CN"/>
          <w14:ligatures w14:val="standardContextual"/>
        </w:rPr>
        <w:t>14</w:t>
      </w:r>
      <w:r>
        <w:rPr>
          <w:rFonts w:hint="eastAsia" w:ascii="仿宋" w:hAnsi="仿宋" w:eastAsia="仿宋" w:cs="Times New Roman"/>
          <w:sz w:val="32"/>
          <w:szCs w:val="32"/>
          <w14:ligatures w14:val="standardContextual"/>
        </w:rPr>
        <w:t>:</w:t>
      </w:r>
      <w:r>
        <w:rPr>
          <w:rFonts w:hint="eastAsia" w:ascii="仿宋" w:hAnsi="仿宋" w:eastAsia="仿宋" w:cs="Times New Roman"/>
          <w:sz w:val="32"/>
          <w:szCs w:val="32"/>
          <w:lang w:val="en-US" w:eastAsia="zh-CN"/>
          <w14:ligatures w14:val="standardContextual"/>
        </w:rPr>
        <w:t>00</w:t>
      </w:r>
      <w:r>
        <w:rPr>
          <w:rFonts w:hint="eastAsia" w:ascii="仿宋" w:hAnsi="仿宋" w:eastAsia="仿宋" w:cs="Times New Roman"/>
          <w:sz w:val="32"/>
          <w:szCs w:val="32"/>
          <w14:ligatures w14:val="standardContextual"/>
        </w:rPr>
        <w:t>-</w:t>
      </w:r>
      <w:r>
        <w:rPr>
          <w:rFonts w:hint="eastAsia" w:ascii="仿宋" w:hAnsi="仿宋" w:eastAsia="仿宋" w:cs="Times New Roman"/>
          <w:sz w:val="32"/>
          <w:szCs w:val="32"/>
          <w:lang w:val="en-US" w:eastAsia="zh-CN"/>
          <w14:ligatures w14:val="standardContextual"/>
        </w:rPr>
        <w:t>17</w:t>
      </w:r>
      <w:r>
        <w:rPr>
          <w:rFonts w:hint="eastAsia" w:ascii="仿宋" w:hAnsi="仿宋" w:eastAsia="仿宋" w:cs="Times New Roman"/>
          <w:sz w:val="32"/>
          <w:szCs w:val="32"/>
          <w14:ligatures w14:val="standardContextual"/>
        </w:rPr>
        <w:t>:</w:t>
      </w:r>
      <w:r>
        <w:rPr>
          <w:rFonts w:hint="eastAsia" w:ascii="仿宋" w:hAnsi="仿宋" w:eastAsia="仿宋" w:cs="Times New Roman"/>
          <w:sz w:val="32"/>
          <w:szCs w:val="32"/>
          <w:lang w:val="en-US" w:eastAsia="zh-CN"/>
          <w14:ligatures w14:val="standardContextual"/>
        </w:rPr>
        <w:t>30</w:t>
      </w:r>
      <w:r>
        <w:rPr>
          <w:rFonts w:hint="eastAsia" w:ascii="仿宋" w:hAnsi="仿宋" w:eastAsia="仿宋" w:cs="Times New Roman"/>
          <w:sz w:val="32"/>
          <w:szCs w:val="32"/>
          <w14:ligatures w14:val="standardContextual"/>
        </w:rPr>
        <w:t>）</w:t>
      </w:r>
    </w:p>
    <w:p w14:paraId="09ACB0FD">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五：采购内容</w:t>
      </w:r>
    </w:p>
    <w:p w14:paraId="158A33A2">
      <w:pPr>
        <w:spacing w:line="552" w:lineRule="exact"/>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（1）反渗透开水直饮机≥35L，适用人数50人至80人5台</w:t>
      </w:r>
    </w:p>
    <w:p w14:paraId="709797C9">
      <w:pPr>
        <w:spacing w:line="552" w:lineRule="exact"/>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（2）反渗透开水直饮机≥15L，适用人数30人至50人2台</w:t>
      </w:r>
    </w:p>
    <w:p w14:paraId="794D53D7">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共计7台（详见附件）</w:t>
      </w:r>
    </w:p>
    <w:p w14:paraId="2D97D496">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六、响应文件</w:t>
      </w:r>
    </w:p>
    <w:p w14:paraId="40BA49F5">
      <w:pPr>
        <w:spacing w:line="552" w:lineRule="exact"/>
        <w:ind w:left="-359" w:leftChars="-171" w:firstLine="1120" w:firstLineChars="350"/>
        <w:jc w:val="left"/>
        <w:rPr>
          <w:rFonts w:hint="eastAsia" w:ascii="仿宋" w:hAnsi="仿宋" w:eastAsia="仿宋" w:cs="Times New Roman"/>
          <w:sz w:val="32"/>
          <w:szCs w:val="32"/>
          <w14:ligatures w14:val="standardContextual"/>
        </w:rPr>
      </w:pPr>
      <w:r>
        <w:rPr>
          <w:rFonts w:hint="eastAsia" w:ascii="仿宋" w:hAnsi="仿宋" w:eastAsia="仿宋" w:cs="Times New Roman"/>
          <w:sz w:val="32"/>
          <w:szCs w:val="32"/>
          <w:lang w:val="en-US" w:eastAsia="zh-CN"/>
          <w14:ligatures w14:val="standardContextual"/>
        </w:rPr>
        <w:t>所有投标单位需现场踏勘后制作标书并提供以下有效文件并加盖公章（正本一份、副本一份）：</w:t>
      </w:r>
    </w:p>
    <w:p w14:paraId="4AFC5077">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1.封面；</w:t>
      </w:r>
    </w:p>
    <w:p w14:paraId="15BA31C5">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2.议价文件目录；</w:t>
      </w:r>
    </w:p>
    <w:p w14:paraId="59DAAEB6">
      <w:pPr>
        <w:spacing w:line="552" w:lineRule="exact"/>
        <w:ind w:left="-359" w:leftChars="-171" w:firstLine="1120" w:firstLineChars="350"/>
        <w:jc w:val="left"/>
        <w:rPr>
          <w:rFonts w:hint="eastAsia" w:ascii="仿宋" w:hAnsi="仿宋" w:eastAsia="仿宋" w:cs="Times New Roman"/>
          <w:sz w:val="32"/>
          <w:szCs w:val="32"/>
          <w14:ligatures w14:val="standardContextual"/>
        </w:rPr>
      </w:pPr>
      <w:r>
        <w:rPr>
          <w:rFonts w:hint="eastAsia" w:ascii="仿宋" w:hAnsi="仿宋" w:eastAsia="仿宋" w:cs="Times New Roman"/>
          <w:sz w:val="32"/>
          <w:szCs w:val="32"/>
          <w:lang w:val="en-US" w:eastAsia="zh-CN"/>
          <w14:ligatures w14:val="standardContextual"/>
        </w:rPr>
        <w:t>3、法人代表人授权书（原件）；</w:t>
      </w:r>
    </w:p>
    <w:p w14:paraId="603103F1">
      <w:pPr>
        <w:spacing w:line="552" w:lineRule="exact"/>
        <w:ind w:left="-359" w:leftChars="-171" w:firstLine="1120" w:firstLineChars="350"/>
        <w:jc w:val="left"/>
        <w:rPr>
          <w:rFonts w:hint="eastAsia" w:ascii="仿宋" w:hAnsi="仿宋" w:eastAsia="仿宋" w:cs="Times New Roman"/>
          <w:sz w:val="32"/>
          <w:szCs w:val="32"/>
          <w14:ligatures w14:val="standardContextual"/>
        </w:rPr>
      </w:pPr>
      <w:r>
        <w:rPr>
          <w:rFonts w:hint="eastAsia" w:ascii="仿宋" w:hAnsi="仿宋" w:eastAsia="仿宋" w:cs="Times New Roman"/>
          <w:sz w:val="32"/>
          <w:szCs w:val="32"/>
          <w:lang w:val="en-US" w:eastAsia="zh-CN"/>
          <w14:ligatures w14:val="standardContextual"/>
        </w:rPr>
        <w:t>4、法人代表人身份证（正、反面复印件加盖公章）；</w:t>
      </w:r>
    </w:p>
    <w:p w14:paraId="4513CB44">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5、被授权人身份证（正、反面复印件加盖公章）；</w:t>
      </w:r>
    </w:p>
    <w:p w14:paraId="44608AA3">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6、报价公司简介及资质；</w:t>
      </w:r>
    </w:p>
    <w:p w14:paraId="6FC80E77">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7、产品质量合格证明；</w:t>
      </w:r>
    </w:p>
    <w:p w14:paraId="3B950235">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8、项目报价单；</w:t>
      </w:r>
    </w:p>
    <w:p w14:paraId="5A51F5A3">
      <w:pPr>
        <w:spacing w:line="552" w:lineRule="exact"/>
        <w:ind w:firstLine="321" w:firstLineChars="100"/>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注：除响应文件外，另须准备密封盖章报价表11份。（报价表以附件形式自行下载）</w:t>
      </w:r>
    </w:p>
    <w:p w14:paraId="35E12307">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七、要求：</w:t>
      </w:r>
    </w:p>
    <w:p w14:paraId="5C496A8E">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1.以上项目均为公开议价项目，凡是报名企业，其经销的产品适用范围、功能及规格须与其一致；凡是产品在“政采云”平台注册的报价公司、生产厂家，均可报名参与议价。</w:t>
      </w:r>
    </w:p>
    <w:p w14:paraId="7F682B1C">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2.供应商应严格按照合同内提供的服务内容进行服务，并按照合同定价严格执行，如有违规，院方有权在合同期内重新选择供应商。</w:t>
      </w:r>
    </w:p>
    <w:p w14:paraId="08346224">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3.供应商应具备对其所签定全部合同的履约能力，具备对医院的配送和预约配送能力。</w:t>
      </w:r>
    </w:p>
    <w:p w14:paraId="17123D2E">
      <w:pPr>
        <w:spacing w:line="552" w:lineRule="exact"/>
        <w:ind w:firstLine="320" w:firstLineChars="100"/>
        <w:jc w:val="left"/>
        <w:rPr>
          <w:rFonts w:hint="default" w:ascii="仿宋" w:eastAsia="仿宋" w:cs="仿宋"/>
          <w:b/>
          <w:bCs/>
          <w:sz w:val="32"/>
          <w:szCs w:val="32"/>
          <w:lang w:val="en-US" w:eastAsia="zh-CN"/>
        </w:rPr>
      </w:pPr>
      <w:r>
        <w:rPr>
          <w:rFonts w:hint="eastAsia" w:ascii="仿宋" w:hAnsi="仿宋" w:eastAsia="仿宋" w:cs="Times New Roman"/>
          <w:sz w:val="32"/>
          <w:szCs w:val="32"/>
          <w:lang w:val="en-US" w:eastAsia="zh-CN"/>
          <w14:ligatures w14:val="standardContextual"/>
        </w:rPr>
        <w:t>4.本项目以人民币进行结算，产品报价：产品费、验收费、手续费、安装费、包装费、运输费、保险费、售前、售中、售后服务费、税金及不可预见费等全部费用。</w:t>
      </w:r>
    </w:p>
    <w:p w14:paraId="1163AE03">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八、议标时间：</w:t>
      </w:r>
    </w:p>
    <w:p w14:paraId="05C0048A">
      <w:pPr>
        <w:spacing w:line="552" w:lineRule="exact"/>
        <w:ind w:firstLine="640" w:firstLineChars="2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请各方于2025年2月20日上午9:00点前将各自的投标文件封存好后提交至西宁市口腔医院招标采购委员会（院办）逾期送达或未按要求装订的投标文件将不予接受。（如议价时间因故调整，另行通知）</w:t>
      </w:r>
    </w:p>
    <w:p w14:paraId="27C221C4">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九、答疑方式：</w:t>
      </w:r>
    </w:p>
    <w:p w14:paraId="4FE611CD">
      <w:pPr>
        <w:spacing w:line="552" w:lineRule="exact"/>
        <w:ind w:firstLine="640" w:firstLineChars="2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供应商须提供准确的联系方式（手机和固定电话），应在规定的时间内到达评审现场进行答疑澄清，如在规定的时间内联系无果或未按时到达的，视同放弃答疑。</w:t>
      </w:r>
    </w:p>
    <w:p w14:paraId="187D6306">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十、其他补充事宜：</w:t>
      </w:r>
    </w:p>
    <w:p w14:paraId="2CAA5E24">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1.我院拒绝接受未密封及未加盖公章的响应文件、分项报价表。</w:t>
      </w:r>
    </w:p>
    <w:p w14:paraId="2195C9A0">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2.供应商，报价厂家、品牌、规格必须与公告要求相一致，否则作无效响应文件处理。</w:t>
      </w:r>
    </w:p>
    <w:p w14:paraId="7A65FE30">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3.评审后我院与选中的供应商联系供货，落选者恕不另行通知。</w:t>
      </w:r>
    </w:p>
    <w:p w14:paraId="422910D2">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4.参与比选的供应商一经选中，必须按时供货。</w:t>
      </w:r>
    </w:p>
    <w:p w14:paraId="5A99D8F5">
      <w:pPr>
        <w:spacing w:line="552" w:lineRule="exact"/>
        <w:jc w:val="left"/>
        <w:rPr>
          <w:rFonts w:hint="eastAsia" w:ascii="仿宋" w:hAnsi="仿宋" w:eastAsia="仿宋" w:cs="Times New Roman"/>
          <w:b/>
          <w:bCs/>
          <w:sz w:val="32"/>
          <w:szCs w:val="32"/>
          <w:lang w:val="en-US" w:eastAsia="zh-CN"/>
          <w14:ligatures w14:val="standardContextual"/>
        </w:rPr>
      </w:pPr>
      <w:r>
        <w:rPr>
          <w:rFonts w:hint="eastAsia" w:ascii="仿宋" w:hAnsi="仿宋" w:eastAsia="仿宋" w:cs="Times New Roman"/>
          <w:b/>
          <w:bCs/>
          <w:sz w:val="32"/>
          <w:szCs w:val="32"/>
          <w:lang w:val="en-US" w:eastAsia="zh-CN"/>
          <w14:ligatures w14:val="standardContextual"/>
        </w:rPr>
        <w:t>十一、取消供应资格</w:t>
      </w:r>
    </w:p>
    <w:p w14:paraId="017DF94D">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1.所供应材料出现质量问题。</w:t>
      </w:r>
    </w:p>
    <w:p w14:paraId="09CF9767">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2.送货时间，配送能力未满足合同要求。</w:t>
      </w:r>
    </w:p>
    <w:p w14:paraId="5A7773D8">
      <w:pPr>
        <w:spacing w:line="552" w:lineRule="exact"/>
        <w:ind w:firstLine="320" w:firstLineChars="10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3.无法提供产品所需证件（如合格证、检验报告）。</w:t>
      </w:r>
    </w:p>
    <w:p w14:paraId="2483A4D9">
      <w:pPr>
        <w:spacing w:line="552" w:lineRule="exact"/>
        <w:ind w:left="-359" w:leftChars="-171" w:firstLine="1120" w:firstLineChars="350"/>
        <w:jc w:val="left"/>
        <w:rPr>
          <w:rFonts w:hint="eastAsia"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未满足以上其中一项，我院有权取消供应资格。</w:t>
      </w:r>
    </w:p>
    <w:p w14:paraId="05B8C3CA"/>
    <w:p w14:paraId="338483D8"/>
    <w:p w14:paraId="34E9D75A"/>
    <w:p w14:paraId="41BF40E5"/>
    <w:p w14:paraId="03F99A0D"/>
    <w:p w14:paraId="37F78346"/>
    <w:p w14:paraId="1FCAA39C"/>
    <w:p w14:paraId="2B8EBFC9"/>
    <w:p w14:paraId="2458CB60"/>
    <w:p w14:paraId="11586060"/>
    <w:p w14:paraId="641CF058"/>
    <w:p w14:paraId="7068DFA4"/>
    <w:p w14:paraId="30999EC6"/>
    <w:p w14:paraId="780B3120"/>
    <w:p w14:paraId="17D60763"/>
    <w:p w14:paraId="4158401C"/>
    <w:p w14:paraId="39EFEFBA"/>
    <w:p w14:paraId="5088B278"/>
    <w:p w14:paraId="46AD8D77"/>
    <w:p w14:paraId="7175CCB7">
      <w:pPr>
        <w:sectPr>
          <w:pgSz w:w="11906" w:h="16838"/>
          <w:pgMar w:top="1440" w:right="1800" w:bottom="1440" w:left="1800" w:header="851" w:footer="992" w:gutter="0"/>
          <w:cols w:space="425" w:num="1"/>
          <w:docGrid w:type="lines" w:linePitch="312" w:charSpace="0"/>
        </w:sectPr>
      </w:pPr>
    </w:p>
    <w:p w14:paraId="00B02308">
      <w:pPr>
        <w:spacing w:line="552" w:lineRule="exact"/>
        <w:jc w:val="left"/>
        <w:rPr>
          <w:rFonts w:hint="default" w:ascii="仿宋" w:hAnsi="仿宋" w:eastAsia="仿宋" w:cs="Times New Roman"/>
          <w:sz w:val="32"/>
          <w:szCs w:val="32"/>
          <w:lang w:val="en-US" w:eastAsia="zh-CN"/>
          <w14:ligatures w14:val="standardContextual"/>
        </w:rPr>
      </w:pPr>
      <w:r>
        <w:rPr>
          <w:rFonts w:hint="eastAsia" w:ascii="仿宋" w:hAnsi="仿宋" w:eastAsia="仿宋" w:cs="Times New Roman"/>
          <w:sz w:val="32"/>
          <w:szCs w:val="32"/>
          <w:lang w:val="en-US" w:eastAsia="zh-CN"/>
          <w14:ligatures w14:val="standardContextual"/>
        </w:rPr>
        <w:t>附件：</w:t>
      </w:r>
    </w:p>
    <w:p w14:paraId="7ED99A53">
      <w:pPr>
        <w:spacing w:line="552" w:lineRule="exact"/>
        <w:jc w:val="center"/>
        <w:rPr>
          <w:rFonts w:hint="default" w:ascii="微软雅黑" w:hAnsi="微软雅黑" w:eastAsia="微软雅黑" w:cs="微软雅黑"/>
          <w:b/>
          <w:sz w:val="44"/>
          <w:szCs w:val="44"/>
          <w:lang w:val="en-US" w:eastAsia="zh-CN"/>
          <w14:ligatures w14:val="standardContextual"/>
        </w:rPr>
      </w:pPr>
      <w:r>
        <w:rPr>
          <w:rFonts w:hint="eastAsia" w:ascii="微软雅黑" w:hAnsi="微软雅黑" w:eastAsia="微软雅黑" w:cs="微软雅黑"/>
          <w:b/>
          <w:sz w:val="44"/>
          <w:szCs w:val="44"/>
          <w:lang w:val="en-US" w:eastAsia="zh-CN"/>
          <w14:ligatures w14:val="standardContextual"/>
        </w:rPr>
        <w:t>生物园区总院、胜利路门诊、北大街门诊反渗透开水直饮机</w:t>
      </w:r>
    </w:p>
    <w:p w14:paraId="2DC1F3AF">
      <w:pPr>
        <w:jc w:val="center"/>
        <w:rPr>
          <w:rFonts w:hint="default"/>
          <w:lang w:val="en-US" w:eastAsia="zh-CN"/>
        </w:rPr>
      </w:pPr>
      <w:r>
        <w:rPr>
          <w:rFonts w:hint="eastAsia" w:ascii="微软雅黑" w:hAnsi="微软雅黑" w:eastAsia="微软雅黑" w:cs="微软雅黑"/>
          <w:b/>
          <w:sz w:val="44"/>
          <w:szCs w:val="44"/>
          <w:lang w:val="en-US" w:eastAsia="zh-CN"/>
          <w14:ligatures w14:val="standardContextual"/>
        </w:rPr>
        <w:t>报价表</w:t>
      </w:r>
    </w:p>
    <w:tbl>
      <w:tblPr>
        <w:tblStyle w:val="3"/>
        <w:tblpPr w:leftFromText="180" w:rightFromText="180" w:vertAnchor="text" w:horzAnchor="page" w:tblpX="1012" w:tblpY="30"/>
        <w:tblOverlap w:val="never"/>
        <w:tblW w:w="146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1"/>
        <w:gridCol w:w="7492"/>
        <w:gridCol w:w="800"/>
        <w:gridCol w:w="1120"/>
        <w:gridCol w:w="1035"/>
        <w:gridCol w:w="2775"/>
      </w:tblGrid>
      <w:tr w14:paraId="4C950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1401" w:type="dxa"/>
            <w:vAlign w:val="center"/>
          </w:tcPr>
          <w:p w14:paraId="5C6DF91A">
            <w:pPr>
              <w:jc w:val="center"/>
              <w:rPr>
                <w:rFonts w:hint="default"/>
                <w:vertAlign w:val="baseline"/>
                <w:lang w:val="en-US" w:eastAsia="zh-CN"/>
              </w:rPr>
            </w:pPr>
            <w:r>
              <w:rPr>
                <w:rFonts w:hint="eastAsia"/>
                <w:vertAlign w:val="baseline"/>
                <w:lang w:val="en-US" w:eastAsia="zh-CN"/>
              </w:rPr>
              <w:t>名称</w:t>
            </w:r>
          </w:p>
        </w:tc>
        <w:tc>
          <w:tcPr>
            <w:tcW w:w="7492" w:type="dxa"/>
            <w:vAlign w:val="center"/>
          </w:tcPr>
          <w:p w14:paraId="1C8EABCA">
            <w:pPr>
              <w:jc w:val="center"/>
              <w:rPr>
                <w:rFonts w:hint="default"/>
                <w:vertAlign w:val="baseline"/>
                <w:lang w:val="en-US" w:eastAsia="zh-CN"/>
              </w:rPr>
            </w:pPr>
            <w:r>
              <w:rPr>
                <w:rFonts w:hint="eastAsia"/>
                <w:vertAlign w:val="baseline"/>
                <w:lang w:val="en-US" w:eastAsia="zh-CN"/>
              </w:rPr>
              <w:t>技术参数</w:t>
            </w:r>
          </w:p>
        </w:tc>
        <w:tc>
          <w:tcPr>
            <w:tcW w:w="800" w:type="dxa"/>
            <w:vAlign w:val="center"/>
          </w:tcPr>
          <w:p w14:paraId="343CDE3A">
            <w:pPr>
              <w:jc w:val="center"/>
              <w:rPr>
                <w:rFonts w:hint="default"/>
                <w:vertAlign w:val="baseline"/>
                <w:lang w:val="en-US" w:eastAsia="zh-CN"/>
              </w:rPr>
            </w:pPr>
            <w:r>
              <w:rPr>
                <w:rFonts w:hint="eastAsia"/>
                <w:vertAlign w:val="baseline"/>
                <w:lang w:val="en-US" w:eastAsia="zh-CN"/>
              </w:rPr>
              <w:t>数量</w:t>
            </w:r>
          </w:p>
        </w:tc>
        <w:tc>
          <w:tcPr>
            <w:tcW w:w="1120" w:type="dxa"/>
            <w:vAlign w:val="center"/>
          </w:tcPr>
          <w:p w14:paraId="76A32883">
            <w:pPr>
              <w:jc w:val="center"/>
              <w:rPr>
                <w:rFonts w:hint="default"/>
                <w:vertAlign w:val="baseline"/>
                <w:lang w:val="en-US" w:eastAsia="zh-CN"/>
              </w:rPr>
            </w:pPr>
            <w:r>
              <w:rPr>
                <w:rFonts w:hint="eastAsia"/>
                <w:vertAlign w:val="baseline"/>
                <w:lang w:val="en-US" w:eastAsia="zh-CN"/>
              </w:rPr>
              <w:t>单价（元/台）</w:t>
            </w:r>
          </w:p>
        </w:tc>
        <w:tc>
          <w:tcPr>
            <w:tcW w:w="1035" w:type="dxa"/>
            <w:vAlign w:val="center"/>
          </w:tcPr>
          <w:p w14:paraId="3BF00BD4">
            <w:pPr>
              <w:jc w:val="center"/>
              <w:rPr>
                <w:rFonts w:hint="default"/>
                <w:vertAlign w:val="baseline"/>
                <w:lang w:val="en-US" w:eastAsia="zh-CN"/>
              </w:rPr>
            </w:pPr>
            <w:r>
              <w:rPr>
                <w:rFonts w:hint="eastAsia"/>
                <w:vertAlign w:val="baseline"/>
                <w:lang w:val="en-US" w:eastAsia="zh-CN"/>
              </w:rPr>
              <w:t>合计</w:t>
            </w:r>
          </w:p>
        </w:tc>
        <w:tc>
          <w:tcPr>
            <w:tcW w:w="2775" w:type="dxa"/>
            <w:vAlign w:val="center"/>
          </w:tcPr>
          <w:p w14:paraId="20244514">
            <w:pPr>
              <w:jc w:val="left"/>
              <w:rPr>
                <w:rFonts w:hint="default"/>
                <w:vertAlign w:val="baseline"/>
                <w:lang w:val="en-US" w:eastAsia="zh-CN"/>
              </w:rPr>
            </w:pPr>
            <w:r>
              <w:rPr>
                <w:rFonts w:hint="eastAsia"/>
                <w:vertAlign w:val="baseline"/>
                <w:lang w:val="en-US" w:eastAsia="zh-CN"/>
              </w:rPr>
              <w:t>备注</w:t>
            </w:r>
            <w:r>
              <w:rPr>
                <w:rFonts w:hint="eastAsia"/>
                <w:b/>
                <w:bCs/>
                <w:vertAlign w:val="baseline"/>
                <w:lang w:val="en-US" w:eastAsia="zh-CN"/>
              </w:rPr>
              <w:t>（需填写单次更换过滤系统PP棉滤芯+复合活性炭炭棒滤芯+反渗透膜滤芯+颗粒活性炭滤芯费用及年度更换频次）</w:t>
            </w:r>
          </w:p>
        </w:tc>
      </w:tr>
      <w:tr w14:paraId="4075E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3" w:hRule="atLeast"/>
        </w:trPr>
        <w:tc>
          <w:tcPr>
            <w:tcW w:w="1401" w:type="dxa"/>
            <w:vAlign w:val="center"/>
          </w:tcPr>
          <w:p w14:paraId="06219E43">
            <w:pPr>
              <w:jc w:val="center"/>
              <w:rPr>
                <w:rFonts w:hint="default"/>
                <w:vertAlign w:val="baseline"/>
                <w:lang w:val="en-US" w:eastAsia="zh-CN"/>
              </w:rPr>
            </w:pPr>
            <w:r>
              <w:rPr>
                <w:rFonts w:hint="eastAsia"/>
                <w:vertAlign w:val="baseline"/>
                <w:lang w:val="en-US" w:eastAsia="zh-CN"/>
              </w:rPr>
              <w:t>反渗透开水直饮机≥35L，适用人数50人至80人</w:t>
            </w:r>
          </w:p>
        </w:tc>
        <w:tc>
          <w:tcPr>
            <w:tcW w:w="7492" w:type="dxa"/>
            <w:vAlign w:val="center"/>
          </w:tcPr>
          <w:p w14:paraId="1FD5373A">
            <w:pPr>
              <w:jc w:val="left"/>
              <w:rPr>
                <w:rFonts w:hint="eastAsia"/>
                <w:vertAlign w:val="baseline"/>
                <w:lang w:val="en-US" w:eastAsia="zh-CN"/>
              </w:rPr>
            </w:pPr>
            <w:r>
              <w:rPr>
                <w:rFonts w:hint="eastAsia"/>
                <w:vertAlign w:val="baseline"/>
                <w:lang w:val="en-US" w:eastAsia="zh-CN"/>
              </w:rPr>
              <w:t>适用人数50人至80人 ；水胆容量≥35L,每小时供水量为≥50L,机械式双龙头按压出水，电220V/380V额定功率 3KW,产品材质整机全不锈钢材质，水槽采用304不锈钢，厚度≥0.8mm；水胆采用食品级304不锈钢，</w:t>
            </w:r>
            <w:bookmarkStart w:id="0" w:name="_GoBack"/>
            <w:bookmarkEnd w:id="0"/>
            <w:r>
              <w:rPr>
                <w:rFonts w:hint="eastAsia"/>
                <w:vertAlign w:val="baseline"/>
                <w:lang w:val="en-US" w:eastAsia="zh-CN"/>
              </w:rPr>
              <w:t>厚度≥1.0mm；门板、侧板采用优质特级压印不锈钢厚度≥0.7mm；内部管路采用304食品级不锈钢波纹管连接；采用步进加热，即开即饮，连续供水，杜绝生水混合，千沸水现象；微电脑控制可定时开关机，微电脑控制，可设定开关机时间，故障显示，水温显示；可防爆、防触电、防渗漏、防干烧、防火、防蒸汽，安全可靠，防触电保护。过滤系统≥4 级反渗透过滤配置（PP棉滤芯+复合活性炭炭棒滤芯+反渗透膜滤芯+颗粒活性炭滤芯）；尺寸长≤600mm宽≤520mm高≤1600mm。</w:t>
            </w:r>
          </w:p>
          <w:p w14:paraId="203A179C">
            <w:pPr>
              <w:jc w:val="center"/>
              <w:rPr>
                <w:rFonts w:hint="default"/>
                <w:vertAlign w:val="baseline"/>
                <w:lang w:val="en-US" w:eastAsia="zh-CN"/>
              </w:rPr>
            </w:pPr>
          </w:p>
        </w:tc>
        <w:tc>
          <w:tcPr>
            <w:tcW w:w="800" w:type="dxa"/>
            <w:vAlign w:val="center"/>
          </w:tcPr>
          <w:p w14:paraId="36122000">
            <w:pPr>
              <w:jc w:val="center"/>
              <w:rPr>
                <w:rFonts w:hint="default"/>
                <w:vertAlign w:val="baseline"/>
                <w:lang w:val="en-US" w:eastAsia="zh-CN"/>
              </w:rPr>
            </w:pPr>
            <w:r>
              <w:rPr>
                <w:rFonts w:hint="eastAsia"/>
                <w:vertAlign w:val="baseline"/>
                <w:lang w:val="en-US" w:eastAsia="zh-CN"/>
              </w:rPr>
              <w:t>5</w:t>
            </w:r>
          </w:p>
        </w:tc>
        <w:tc>
          <w:tcPr>
            <w:tcW w:w="1120" w:type="dxa"/>
            <w:vAlign w:val="center"/>
          </w:tcPr>
          <w:p w14:paraId="49CE015A">
            <w:pPr>
              <w:jc w:val="center"/>
              <w:rPr>
                <w:rFonts w:hint="default"/>
                <w:vertAlign w:val="baseline"/>
                <w:lang w:val="en-US" w:eastAsia="zh-CN"/>
              </w:rPr>
            </w:pPr>
          </w:p>
        </w:tc>
        <w:tc>
          <w:tcPr>
            <w:tcW w:w="1035" w:type="dxa"/>
            <w:vAlign w:val="center"/>
          </w:tcPr>
          <w:p w14:paraId="6AA24D7F">
            <w:pPr>
              <w:jc w:val="center"/>
              <w:rPr>
                <w:rFonts w:hint="default"/>
                <w:vertAlign w:val="baseline"/>
                <w:lang w:val="en-US" w:eastAsia="zh-CN"/>
              </w:rPr>
            </w:pPr>
          </w:p>
        </w:tc>
        <w:tc>
          <w:tcPr>
            <w:tcW w:w="2775" w:type="dxa"/>
            <w:vAlign w:val="center"/>
          </w:tcPr>
          <w:p w14:paraId="5EECAC41">
            <w:pPr>
              <w:jc w:val="center"/>
              <w:rPr>
                <w:rFonts w:hint="default"/>
                <w:vertAlign w:val="baseline"/>
                <w:lang w:val="en-US" w:eastAsia="zh-CN"/>
              </w:rPr>
            </w:pPr>
          </w:p>
        </w:tc>
      </w:tr>
      <w:tr w14:paraId="437A4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401" w:type="dxa"/>
            <w:vAlign w:val="center"/>
          </w:tcPr>
          <w:p w14:paraId="39B86130">
            <w:pPr>
              <w:jc w:val="center"/>
              <w:rPr>
                <w:rFonts w:hint="default"/>
                <w:vertAlign w:val="baseline"/>
                <w:lang w:val="en-US" w:eastAsia="zh-CN"/>
              </w:rPr>
            </w:pPr>
            <w:r>
              <w:rPr>
                <w:rFonts w:hint="eastAsia"/>
                <w:vertAlign w:val="baseline"/>
                <w:lang w:val="en-US" w:eastAsia="zh-CN"/>
              </w:rPr>
              <w:t>反渗透开水直饮机≥15L，适用人数30人至50人</w:t>
            </w:r>
          </w:p>
        </w:tc>
        <w:tc>
          <w:tcPr>
            <w:tcW w:w="7492" w:type="dxa"/>
            <w:vAlign w:val="center"/>
          </w:tcPr>
          <w:p w14:paraId="5BA2604F">
            <w:pPr>
              <w:jc w:val="left"/>
              <w:rPr>
                <w:rFonts w:hint="default"/>
                <w:vertAlign w:val="baseline"/>
                <w:lang w:val="en-US" w:eastAsia="zh-CN"/>
              </w:rPr>
            </w:pPr>
            <w:r>
              <w:rPr>
                <w:rFonts w:hint="eastAsia"/>
                <w:vertAlign w:val="baseline"/>
                <w:lang w:val="en-US" w:eastAsia="zh-CN"/>
              </w:rPr>
              <w:t>适用人数30人至人50 ；两龙头，产品材质整机全不锈钢材质，厚度≥0.8mm；水胆采用食品级304不锈钢，厚度≥1.0mm；出水方式：双温双控，水嘴可同时出热水和直饮水；电源功率220V/50HZ额定功率≤2KW；产水量：每小时供水量为≥63L/H；加热内胆容量≥15L；外形尺寸：长尺寸长≤600mm宽≤520mm高≤1600mm；采用即开即饮，连续供水，杜绝生水混合，千沸水现象；过滤系统：≥4 级反渗透过滤配置（PP棉滤芯+复合活性炭炭棒滤芯+反渗透膜滤芯+颗粒活性炭滤芯）；微电脑控制，可设定开关机时间，故障显示，水温显示；可防爆、防触电、防渗漏、防干烧、防火、防蒸汽，安全可靠，防触电保护。</w:t>
            </w:r>
          </w:p>
        </w:tc>
        <w:tc>
          <w:tcPr>
            <w:tcW w:w="800" w:type="dxa"/>
            <w:vAlign w:val="center"/>
          </w:tcPr>
          <w:p w14:paraId="0793E12A">
            <w:pPr>
              <w:jc w:val="center"/>
              <w:rPr>
                <w:rFonts w:hint="default"/>
                <w:vertAlign w:val="baseline"/>
                <w:lang w:val="en-US" w:eastAsia="zh-CN"/>
              </w:rPr>
            </w:pPr>
            <w:r>
              <w:rPr>
                <w:rFonts w:hint="eastAsia"/>
                <w:vertAlign w:val="baseline"/>
                <w:lang w:val="en-US" w:eastAsia="zh-CN"/>
              </w:rPr>
              <w:t>2</w:t>
            </w:r>
          </w:p>
        </w:tc>
        <w:tc>
          <w:tcPr>
            <w:tcW w:w="1120" w:type="dxa"/>
            <w:vAlign w:val="center"/>
          </w:tcPr>
          <w:p w14:paraId="4D80A5FD">
            <w:pPr>
              <w:jc w:val="center"/>
              <w:rPr>
                <w:rFonts w:hint="default"/>
                <w:vertAlign w:val="baseline"/>
                <w:lang w:val="en-US" w:eastAsia="zh-CN"/>
              </w:rPr>
            </w:pPr>
          </w:p>
        </w:tc>
        <w:tc>
          <w:tcPr>
            <w:tcW w:w="1035" w:type="dxa"/>
            <w:vAlign w:val="center"/>
          </w:tcPr>
          <w:p w14:paraId="012D5E4F">
            <w:pPr>
              <w:jc w:val="center"/>
              <w:rPr>
                <w:rFonts w:hint="default"/>
                <w:vertAlign w:val="baseline"/>
                <w:lang w:val="en-US" w:eastAsia="zh-CN"/>
              </w:rPr>
            </w:pPr>
          </w:p>
        </w:tc>
        <w:tc>
          <w:tcPr>
            <w:tcW w:w="2775" w:type="dxa"/>
            <w:vAlign w:val="center"/>
          </w:tcPr>
          <w:p w14:paraId="07B39169">
            <w:pPr>
              <w:jc w:val="center"/>
              <w:rPr>
                <w:rFonts w:hint="default"/>
                <w:vertAlign w:val="baseline"/>
                <w:lang w:val="en-US" w:eastAsia="zh-CN"/>
              </w:rPr>
            </w:pPr>
          </w:p>
        </w:tc>
      </w:tr>
    </w:tbl>
    <w:p w14:paraId="4EE9B5E5">
      <w:pPr>
        <w:rPr>
          <w:rFonts w:hint="default"/>
          <w:lang w:val="en-US" w:eastAsia="zh-CN"/>
        </w:rPr>
      </w:pPr>
    </w:p>
    <w:p w14:paraId="2446C88A"/>
    <w:p w14:paraId="0D77ABCF"/>
    <w:p w14:paraId="2108996B"/>
    <w:p w14:paraId="39C08200"/>
    <w:p w14:paraId="08007D2A"/>
    <w:p w14:paraId="37B05013"/>
    <w:p w14:paraId="181811BD"/>
    <w:p w14:paraId="17834C33"/>
    <w:p w14:paraId="09B8E96F"/>
    <w:p w14:paraId="083D138B"/>
    <w:p w14:paraId="213288FA"/>
    <w:p w14:paraId="16CF49FD"/>
    <w:p w14:paraId="0E55C0BA"/>
    <w:p w14:paraId="40A43A09"/>
    <w:p w14:paraId="5CB189F7"/>
    <w:p w14:paraId="363B7369"/>
    <w:p w14:paraId="4A30EE96"/>
    <w:p w14:paraId="473D3FD8"/>
    <w:p w14:paraId="48815C44"/>
    <w:p w14:paraId="1070260C"/>
    <w:tbl>
      <w:tblPr>
        <w:tblStyle w:val="3"/>
        <w:tblpPr w:leftFromText="180" w:rightFromText="180" w:vertAnchor="text" w:horzAnchor="page" w:tblpX="1008" w:tblpY="261"/>
        <w:tblOverlap w:val="never"/>
        <w:tblW w:w="146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5"/>
        <w:gridCol w:w="13240"/>
      </w:tblGrid>
      <w:tr w14:paraId="102B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05" w:type="dxa"/>
            <w:vAlign w:val="center"/>
          </w:tcPr>
          <w:p w14:paraId="2AF4683F">
            <w:pPr>
              <w:jc w:val="center"/>
              <w:rPr>
                <w:rFonts w:hint="default"/>
                <w:vertAlign w:val="baseline"/>
                <w:lang w:val="en-US" w:eastAsia="zh-CN"/>
              </w:rPr>
            </w:pPr>
            <w:r>
              <w:rPr>
                <w:rFonts w:hint="eastAsia"/>
                <w:vertAlign w:val="baseline"/>
                <w:lang w:val="en-US" w:eastAsia="zh-CN"/>
              </w:rPr>
              <w:t>合计总价</w:t>
            </w:r>
          </w:p>
        </w:tc>
        <w:tc>
          <w:tcPr>
            <w:tcW w:w="13240" w:type="dxa"/>
            <w:vAlign w:val="center"/>
          </w:tcPr>
          <w:p w14:paraId="531AF775">
            <w:pPr>
              <w:jc w:val="center"/>
              <w:rPr>
                <w:rFonts w:hint="default"/>
                <w:vertAlign w:val="baseline"/>
                <w:lang w:val="en-US" w:eastAsia="zh-CN"/>
              </w:rPr>
            </w:pPr>
          </w:p>
        </w:tc>
      </w:tr>
      <w:tr w14:paraId="62E8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4645" w:type="dxa"/>
            <w:gridSpan w:val="2"/>
            <w:vAlign w:val="center"/>
          </w:tcPr>
          <w:p w14:paraId="1B375BEF">
            <w:pPr>
              <w:jc w:val="left"/>
              <w:rPr>
                <w:rFonts w:hint="default"/>
                <w:vertAlign w:val="baseline"/>
                <w:lang w:val="en-US" w:eastAsia="zh-CN"/>
              </w:rPr>
            </w:pPr>
            <w:r>
              <w:rPr>
                <w:rFonts w:hint="eastAsia"/>
                <w:b/>
                <w:bCs/>
                <w:lang w:val="en-US" w:eastAsia="zh-CN"/>
              </w:rPr>
              <w:t>备注：此报价包括产品相关运输费、安装调试费、安装耗材费、税金及其他不可预见费等费用。</w:t>
            </w:r>
          </w:p>
        </w:tc>
      </w:tr>
    </w:tbl>
    <w:p w14:paraId="1AC9C221"/>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6789BD55-CCEF-4BAA-A5C8-A8E518E9CFC6}"/>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D2878041-7184-4050-9D64-B8F9DC7A74CF}"/>
  </w:font>
  <w:font w:name="微软雅黑">
    <w:panose1 w:val="020B0503020204020204"/>
    <w:charset w:val="86"/>
    <w:family w:val="auto"/>
    <w:pitch w:val="default"/>
    <w:sig w:usb0="80000287" w:usb1="2ACF3C50" w:usb2="00000016" w:usb3="00000000" w:csb0="0004001F" w:csb1="00000000"/>
    <w:embedRegular r:id="rId3" w:fontKey="{7F3124EC-6BB2-4837-AB4F-DD4EC42621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4D6F55"/>
    <w:rsid w:val="094D6F55"/>
    <w:rsid w:val="14875219"/>
    <w:rsid w:val="59843C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市直单位</Company>
  <Pages>5</Pages>
  <Words>1843</Words>
  <Characters>2006</Characters>
  <Lines>0</Lines>
  <Paragraphs>0</Paragraphs>
  <TotalTime>12</TotalTime>
  <ScaleCrop>false</ScaleCrop>
  <LinksUpToDate>false</LinksUpToDate>
  <CharactersWithSpaces>2011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2025-02-14T08:03:00Z</dcterms:created>
  <dc:creator>Lee</dc:creator>
  <cp:lastModifiedBy>西宁市口腔医院</cp:lastModifiedBy>
  <dcterms:modified xsi:type="dcterms:W3CDTF">2025-02-14T08:48:26Z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64A8245540B54CDF95AC5D1CC4A8FFF7_11</vt:lpwstr>
  </property>
  <property fmtid="{D5CDD505-2E9C-101B-9397-08002B2CF9AE}" pid="4" name="KSOTemplateDocerSaveRecord">
    <vt:lpwstr>eyJoZGlkIjoiZmI4NzI1NDIwNmVjNjg3YWIxYjY1NDZkZmY5MjI0ZDAiLCJ1c2VySWQiOiI0NDE1OTg0NTIifQ==</vt:lpwstr>
  </property>
</Properties>
</file>