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2016" w:tblpY="849"/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25"/>
        <w:gridCol w:w="4435"/>
        <w:gridCol w:w="977"/>
        <w:gridCol w:w="1152"/>
      </w:tblGrid>
      <w:tr w:rsidR="00606E9C" w14:paraId="7615A2A5" w14:textId="77777777">
        <w:tc>
          <w:tcPr>
            <w:tcW w:w="709" w:type="dxa"/>
          </w:tcPr>
          <w:p w14:paraId="3606FB03" w14:textId="77777777" w:rsidR="00606E9C" w:rsidRDefault="00000000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025" w:type="dxa"/>
          </w:tcPr>
          <w:p w14:paraId="783B7E81" w14:textId="77777777" w:rsidR="00606E9C" w:rsidRDefault="00000000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服务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4435" w:type="dxa"/>
          </w:tcPr>
          <w:p w14:paraId="4E4B4289" w14:textId="77777777" w:rsidR="00606E9C" w:rsidRDefault="00000000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型号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及配置描述</w:t>
            </w:r>
          </w:p>
        </w:tc>
        <w:tc>
          <w:tcPr>
            <w:tcW w:w="977" w:type="dxa"/>
          </w:tcPr>
          <w:p w14:paraId="00288185" w14:textId="77777777" w:rsidR="00606E9C" w:rsidRDefault="00000000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服务时长</w:t>
            </w:r>
          </w:p>
        </w:tc>
        <w:tc>
          <w:tcPr>
            <w:tcW w:w="1152" w:type="dxa"/>
          </w:tcPr>
          <w:p w14:paraId="23927922" w14:textId="77777777" w:rsidR="00606E9C" w:rsidRDefault="00000000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产品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金额</w:t>
            </w:r>
          </w:p>
        </w:tc>
      </w:tr>
      <w:tr w:rsidR="00606E9C" w14:paraId="6187E900" w14:textId="77777777">
        <w:tc>
          <w:tcPr>
            <w:tcW w:w="709" w:type="dxa"/>
          </w:tcPr>
          <w:p w14:paraId="5AC0A4D3" w14:textId="77777777" w:rsidR="00606E9C" w:rsidRDefault="00000000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5" w:type="dxa"/>
          </w:tcPr>
          <w:p w14:paraId="7EC5C8C2" w14:textId="629A87D4" w:rsidR="00606E9C" w:rsidRDefault="009E16AC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域名防护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435" w:type="dxa"/>
          </w:tcPr>
          <w:p w14:paraId="50898869" w14:textId="77777777" w:rsidR="00A169AA" w:rsidRPr="00A169AA" w:rsidRDefault="00A169AA" w:rsidP="00A169AA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A169AA">
              <w:rPr>
                <w:rFonts w:ascii="宋体" w:hAnsi="宋体" w:hint="eastAsia"/>
                <w:color w:val="000000"/>
                <w:sz w:val="18"/>
                <w:szCs w:val="18"/>
              </w:rPr>
              <w:t>提供域名安全云防护服务；</w:t>
            </w:r>
          </w:p>
          <w:p w14:paraId="47431656" w14:textId="77777777" w:rsidR="00A169AA" w:rsidRPr="00A169AA" w:rsidRDefault="00A169AA" w:rsidP="00A169AA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A169AA">
              <w:rPr>
                <w:rFonts w:ascii="宋体" w:hAnsi="宋体" w:hint="eastAsia"/>
                <w:color w:val="000000"/>
                <w:sz w:val="18"/>
                <w:szCs w:val="18"/>
              </w:rPr>
              <w:t>包含以下服务：# Web攻击防护;包含：SQL注入、跨站攻击、伪造请求攻击、后门植入、上传漏洞攻击、路径遍历等Web漏洞攻击防护。# DDoS攻击共享型防护;不超过10Gbps的防护;包含：SYN Flood、ACK Flood、UDP Flood、ICMP Flood等攻击类型的防护。</w:t>
            </w:r>
          </w:p>
          <w:p w14:paraId="73BCB42F" w14:textId="77777777" w:rsidR="00A169AA" w:rsidRPr="00A169AA" w:rsidRDefault="00A169AA" w:rsidP="00A169AA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A169AA">
              <w:rPr>
                <w:rFonts w:ascii="宋体" w:hAnsi="宋体" w:hint="eastAsia"/>
                <w:color w:val="000000"/>
                <w:sz w:val="18"/>
                <w:szCs w:val="18"/>
              </w:rPr>
              <w:t># 高防DNS服务：支持对DNS的DDoS的攻击防护，DNS防护带宽≥30Gbps。</w:t>
            </w:r>
          </w:p>
          <w:p w14:paraId="29597233" w14:textId="77777777" w:rsidR="00A169AA" w:rsidRPr="00A169AA" w:rsidRDefault="00A169AA" w:rsidP="00A169AA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A169AA">
              <w:rPr>
                <w:rFonts w:ascii="宋体" w:hAnsi="宋体" w:hint="eastAsia"/>
                <w:color w:val="000000"/>
                <w:sz w:val="18"/>
                <w:szCs w:val="18"/>
              </w:rPr>
              <w:t># 网站缓存加速;包含对静态资源：HTML、JS、图片、CSS等文件的缓存。</w:t>
            </w:r>
          </w:p>
          <w:p w14:paraId="677EE392" w14:textId="77777777" w:rsidR="00A169AA" w:rsidRPr="00A169AA" w:rsidRDefault="00A169AA" w:rsidP="00A169AA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A169AA">
              <w:rPr>
                <w:rFonts w:ascii="宋体" w:hAnsi="宋体" w:hint="eastAsia"/>
                <w:color w:val="000000"/>
                <w:sz w:val="18"/>
                <w:szCs w:val="18"/>
              </w:rPr>
              <w:t># 客户源站无需做任何改动即可实现IPv6访问和防护。（需客户本地DNS支持4A解析）</w:t>
            </w:r>
          </w:p>
          <w:p w14:paraId="09ED381A" w14:textId="77777777" w:rsidR="00A169AA" w:rsidRPr="00A169AA" w:rsidRDefault="00A169AA" w:rsidP="00A169AA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A169A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# 单域名防护≥1.8TB正常业务流量; </w:t>
            </w:r>
          </w:p>
          <w:p w14:paraId="6C8DEBAC" w14:textId="77777777" w:rsidR="00A169AA" w:rsidRPr="00A169AA" w:rsidRDefault="00A169AA" w:rsidP="00A169AA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A169AA">
              <w:rPr>
                <w:rFonts w:ascii="宋体" w:hAnsi="宋体" w:hint="eastAsia"/>
                <w:color w:val="000000"/>
                <w:sz w:val="18"/>
                <w:szCs w:val="18"/>
              </w:rPr>
              <w:t># 正常业务请求并发：≥2000QPS。</w:t>
            </w:r>
          </w:p>
          <w:p w14:paraId="1B972876" w14:textId="77777777" w:rsidR="00A169AA" w:rsidRPr="00A169AA" w:rsidRDefault="00A169AA" w:rsidP="00A169AA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A169AA">
              <w:rPr>
                <w:rFonts w:ascii="宋体" w:hAnsi="宋体" w:hint="eastAsia"/>
                <w:color w:val="000000"/>
                <w:sz w:val="18"/>
                <w:szCs w:val="18"/>
              </w:rPr>
              <w:t># 提供安卓版本运维APP;支持防护配置、报表查看、一键关站、一键回源等操作。</w:t>
            </w:r>
          </w:p>
          <w:p w14:paraId="10F7FDD4" w14:textId="77777777" w:rsidR="00A169AA" w:rsidRPr="00A169AA" w:rsidRDefault="00A169AA" w:rsidP="00A169AA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A169AA">
              <w:rPr>
                <w:rFonts w:ascii="宋体" w:hAnsi="宋体" w:hint="eastAsia"/>
                <w:color w:val="000000"/>
                <w:sz w:val="18"/>
                <w:szCs w:val="18"/>
              </w:rPr>
              <w:t># 包含1个非标准端口配置;可支持除80、443之外的端口；</w:t>
            </w:r>
          </w:p>
          <w:p w14:paraId="62D10C18" w14:textId="14D16205" w:rsidR="00606E9C" w:rsidRDefault="00A169AA" w:rsidP="00A169AA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A169AA">
              <w:rPr>
                <w:rFonts w:ascii="宋体" w:hAnsi="宋体" w:hint="eastAsia"/>
                <w:color w:val="000000"/>
                <w:sz w:val="18"/>
                <w:szCs w:val="18"/>
              </w:rPr>
              <w:t># 一年售后服务;防护周期内的防护引擎、防护规则免费升级服务、7x24小时电话支持服务、产品远程技术支持：包含防护接入、防护过程中产品问题支持。</w:t>
            </w:r>
          </w:p>
        </w:tc>
        <w:tc>
          <w:tcPr>
            <w:tcW w:w="977" w:type="dxa"/>
          </w:tcPr>
          <w:p w14:paraId="76772C0B" w14:textId="77777777" w:rsidR="00606E9C" w:rsidRDefault="00000000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1年</w:t>
            </w:r>
          </w:p>
        </w:tc>
        <w:tc>
          <w:tcPr>
            <w:tcW w:w="1152" w:type="dxa"/>
          </w:tcPr>
          <w:p w14:paraId="78E498AB" w14:textId="30A6487C" w:rsidR="00606E9C" w:rsidRDefault="00606E9C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606E9C" w14:paraId="1338DC29" w14:textId="77777777" w:rsidTr="005247C1">
        <w:trPr>
          <w:trHeight w:val="3267"/>
        </w:trPr>
        <w:tc>
          <w:tcPr>
            <w:tcW w:w="709" w:type="dxa"/>
          </w:tcPr>
          <w:p w14:paraId="48918BA6" w14:textId="77777777" w:rsidR="00606E9C" w:rsidRDefault="00000000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5" w:type="dxa"/>
          </w:tcPr>
          <w:p w14:paraId="19526188" w14:textId="77777777" w:rsidR="00606E9C" w:rsidRDefault="00000000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Web漏洞扫描模块</w:t>
            </w:r>
          </w:p>
        </w:tc>
        <w:tc>
          <w:tcPr>
            <w:tcW w:w="4435" w:type="dxa"/>
          </w:tcPr>
          <w:p w14:paraId="4A90996F" w14:textId="77777777" w:rsidR="00A169AA" w:rsidRPr="00A169AA" w:rsidRDefault="00A169AA" w:rsidP="00A169AA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A169AA">
              <w:rPr>
                <w:rFonts w:ascii="宋体" w:hAnsi="宋体" w:hint="eastAsia"/>
                <w:color w:val="000000"/>
                <w:sz w:val="18"/>
                <w:szCs w:val="18"/>
              </w:rPr>
              <w:t>Web漏洞扫描服务：提供1个域名的网站云端漏洞扫描服务，包含以下服务；</w:t>
            </w:r>
          </w:p>
          <w:p w14:paraId="285B10B7" w14:textId="77777777" w:rsidR="00A169AA" w:rsidRPr="00A169AA" w:rsidRDefault="00A169AA" w:rsidP="00A169AA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A169AA">
              <w:rPr>
                <w:rFonts w:ascii="宋体" w:hAnsi="宋体" w:hint="eastAsia"/>
                <w:color w:val="000000"/>
                <w:sz w:val="18"/>
                <w:szCs w:val="18"/>
              </w:rPr>
              <w:t>#支持远程http及https请求扫描，进行深度网站漏洞检测</w:t>
            </w:r>
          </w:p>
          <w:p w14:paraId="489D0AB5" w14:textId="77777777" w:rsidR="00A169AA" w:rsidRPr="00A169AA" w:rsidRDefault="00A169AA" w:rsidP="00A169AA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A169AA">
              <w:rPr>
                <w:rFonts w:ascii="宋体" w:hAnsi="宋体" w:hint="eastAsia"/>
                <w:color w:val="000000"/>
                <w:sz w:val="18"/>
                <w:szCs w:val="18"/>
              </w:rPr>
              <w:t>#支持覆盖SQL注入、系统命令执行、跨站脚本攻击、信息泄露等常见漏洞</w:t>
            </w:r>
          </w:p>
          <w:p w14:paraId="4BB08D82" w14:textId="77777777" w:rsidR="00A169AA" w:rsidRPr="00A169AA" w:rsidRDefault="00A169AA" w:rsidP="00A169AA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A169AA">
              <w:rPr>
                <w:rFonts w:ascii="宋体" w:hAnsi="宋体" w:hint="eastAsia"/>
                <w:color w:val="000000"/>
                <w:sz w:val="18"/>
                <w:szCs w:val="18"/>
              </w:rPr>
              <w:t>#详细展示漏洞威胁等级、告警类型、告警信息、相关操作等信息，并记录日志</w:t>
            </w:r>
          </w:p>
          <w:p w14:paraId="3E1F9B91" w14:textId="4F318034" w:rsidR="00606E9C" w:rsidRDefault="00A169AA" w:rsidP="00A169AA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A169AA">
              <w:rPr>
                <w:rFonts w:ascii="宋体" w:hAnsi="宋体" w:hint="eastAsia"/>
                <w:color w:val="000000"/>
                <w:sz w:val="18"/>
                <w:szCs w:val="18"/>
              </w:rPr>
              <w:t>#支持扫描报告以html格式导出。</w:t>
            </w:r>
          </w:p>
        </w:tc>
        <w:tc>
          <w:tcPr>
            <w:tcW w:w="977" w:type="dxa"/>
          </w:tcPr>
          <w:p w14:paraId="6E66EF6C" w14:textId="77777777" w:rsidR="00606E9C" w:rsidRDefault="00000000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1152" w:type="dxa"/>
          </w:tcPr>
          <w:p w14:paraId="40A4D1C6" w14:textId="76378C3E" w:rsidR="00606E9C" w:rsidRDefault="00606E9C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606E9C" w14:paraId="080D0934" w14:textId="77777777">
        <w:tc>
          <w:tcPr>
            <w:tcW w:w="6169" w:type="dxa"/>
            <w:gridSpan w:val="3"/>
          </w:tcPr>
          <w:p w14:paraId="2109E856" w14:textId="77777777" w:rsidR="00606E9C" w:rsidRDefault="00000000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合计（元）</w:t>
            </w:r>
          </w:p>
        </w:tc>
        <w:tc>
          <w:tcPr>
            <w:tcW w:w="2129" w:type="dxa"/>
            <w:gridSpan w:val="2"/>
          </w:tcPr>
          <w:p w14:paraId="02A1FAAB" w14:textId="3AF64812" w:rsidR="00606E9C" w:rsidRDefault="00606E9C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</w:tbl>
    <w:p w14:paraId="5BE08E54" w14:textId="4E4EE2F4" w:rsidR="00606E9C" w:rsidRDefault="00000000">
      <w:pPr>
        <w:jc w:val="center"/>
        <w:rPr>
          <w:rFonts w:ascii="宋体" w:eastAsia="宋体" w:hAnsi="宋体" w:cs="宋体" w:hint="eastAsia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西宁市口腔医院</w:t>
      </w:r>
      <w:r w:rsidR="005247C1">
        <w:rPr>
          <w:rFonts w:ascii="宋体" w:eastAsia="宋体" w:hAnsi="宋体" w:cs="宋体" w:hint="eastAsia"/>
          <w:color w:val="000000"/>
          <w:sz w:val="30"/>
          <w:szCs w:val="30"/>
        </w:rPr>
        <w:t>网络安全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云防护</w:t>
      </w:r>
      <w:r w:rsidR="005247C1">
        <w:rPr>
          <w:rFonts w:ascii="宋体" w:eastAsia="宋体" w:hAnsi="宋体" w:cs="宋体" w:hint="eastAsia"/>
          <w:color w:val="000000"/>
          <w:sz w:val="30"/>
          <w:szCs w:val="30"/>
        </w:rPr>
        <w:t>明细</w:t>
      </w:r>
    </w:p>
    <w:p w14:paraId="5D3020D8" w14:textId="77777777" w:rsidR="00606E9C" w:rsidRDefault="00606E9C">
      <w:pPr>
        <w:jc w:val="center"/>
        <w:rPr>
          <w:rFonts w:ascii="宋体" w:eastAsia="宋体" w:hAnsi="宋体" w:cs="宋体" w:hint="eastAsia"/>
          <w:color w:val="000000"/>
          <w:sz w:val="24"/>
        </w:rPr>
      </w:pPr>
    </w:p>
    <w:p w14:paraId="548142DE" w14:textId="77777777" w:rsidR="00606E9C" w:rsidRDefault="00606E9C">
      <w:pPr>
        <w:rPr>
          <w:rFonts w:ascii="宋体" w:hAnsi="宋体" w:hint="eastAsia"/>
          <w:color w:val="000000"/>
          <w:sz w:val="18"/>
          <w:szCs w:val="18"/>
        </w:rPr>
      </w:pPr>
    </w:p>
    <w:sectPr w:rsidR="00606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6722A" w14:textId="77777777" w:rsidR="00D94C4E" w:rsidRDefault="00D94C4E" w:rsidP="00FA2B54">
      <w:r>
        <w:separator/>
      </w:r>
    </w:p>
  </w:endnote>
  <w:endnote w:type="continuationSeparator" w:id="0">
    <w:p w14:paraId="5971F8C7" w14:textId="77777777" w:rsidR="00D94C4E" w:rsidRDefault="00D94C4E" w:rsidP="00FA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60AD" w14:textId="77777777" w:rsidR="00D94C4E" w:rsidRDefault="00D94C4E" w:rsidP="00FA2B54">
      <w:r>
        <w:separator/>
      </w:r>
    </w:p>
  </w:footnote>
  <w:footnote w:type="continuationSeparator" w:id="0">
    <w:p w14:paraId="149FAF34" w14:textId="77777777" w:rsidR="00D94C4E" w:rsidRDefault="00D94C4E" w:rsidP="00FA2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D2124E"/>
    <w:rsid w:val="00463C23"/>
    <w:rsid w:val="00477FAE"/>
    <w:rsid w:val="005247C1"/>
    <w:rsid w:val="00606E9C"/>
    <w:rsid w:val="009E16AC"/>
    <w:rsid w:val="00A11105"/>
    <w:rsid w:val="00A169AA"/>
    <w:rsid w:val="00A635F0"/>
    <w:rsid w:val="00B24F66"/>
    <w:rsid w:val="00BF6045"/>
    <w:rsid w:val="00D94C4E"/>
    <w:rsid w:val="00D966F0"/>
    <w:rsid w:val="00E3282E"/>
    <w:rsid w:val="00EB6F20"/>
    <w:rsid w:val="00FA2B54"/>
    <w:rsid w:val="0B162DAE"/>
    <w:rsid w:val="65D2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314DE"/>
  <w15:docId w15:val="{59951838-FB0C-4EBD-A784-6DFA921C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2B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A2B54"/>
    <w:rPr>
      <w:kern w:val="2"/>
      <w:sz w:val="18"/>
      <w:szCs w:val="18"/>
    </w:rPr>
  </w:style>
  <w:style w:type="paragraph" w:styleId="a5">
    <w:name w:val="footer"/>
    <w:basedOn w:val="a"/>
    <w:link w:val="a6"/>
    <w:rsid w:val="00FA2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A2B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607</Characters>
  <Application>Microsoft Office Word</Application>
  <DocSecurity>0</DocSecurity>
  <Lines>5</Lines>
  <Paragraphs>1</Paragraphs>
  <ScaleCrop>false</ScaleCrop>
  <Company>青海省分公司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XXZX-C</cp:lastModifiedBy>
  <cp:revision>5</cp:revision>
  <dcterms:created xsi:type="dcterms:W3CDTF">2026-05-18T06:39:00Z</dcterms:created>
  <dcterms:modified xsi:type="dcterms:W3CDTF">2026-05-19T00:44:00Z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102EE05A1D8242089819C65795757130_11</vt:lpwstr>
  </property>
</Properties>
</file>